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5150 SC V2 bugfriendly</w:t>
      </w:r>
    </w:p>
    <w:p>
      <w:pPr/>
      <w:r>
        <w:rPr>
          <w:b w:val="1"/>
          <w:bCs w:val="1"/>
        </w:rPr>
        <w:t xml:space="preserve">avec détecteur de mouvement - 1800K</w:t>
      </w:r>
    </w:p>
    <w:p/>
    <w:p>
      <w:pPr/>
      <w:r>
        <w:rPr/>
        <w:t xml:space="preserve">Dimensions (L x l x H): 1500 x 87 x 58 mm;Avec détecteur de mouvement: Oui;Garantie du fabricant: 5 ans;Variante: avec détecteur de mouvement - 1800K;UC1, Code EAN: 4007841091446;Coloris: gris;Lieu d'installation: mur, plafond;Montage: Mur, Plafond, En saillie;Résistance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m;Réglage électronique: Oui;Flux lumineux total du produit: 3877 lm;Efficacité totale du produit: 92,3 lm/W;Température de couleur: 1800 K;Ampoule: LED non interchangeable;Fonctions: Communication cryptée, Fonction de groupe voisin, Libre choix de la valeur d'éclairage dans un groupe de luminaires, Temps de fondu réglable à l'allumage et à l'extinction, Connexion aux systèmes de batterie centrale, Détecteur de mouvement, Détecteur de lumière, Lumière d'orientation;Réglage crépusculaire: 2 – 2000 lx;Temporisation: 5 s – 60 min;Fonction balisage: Oui;Fonction balisage temps: 1-60 min;Éclairage principal réglable: 0 - 100 %;Mise en réseau possible: Oui;Mise en réseau via: Bluetooth Mesh;Durée de vie des LED selon IEC-62717 (L70): 100.000 h;Durée de vie des LED selon IEC-62717 (L80): 68.000 h;Durée de vie des LED selon IES TM-21 (L70): &gt; 60.000 h;Durée de vie des LED selon IES TM-21 (L80): &gt; 60.000 h;Fusible B10: 41;Fusible B16: 65;Fusible C10: 67;Fusible C16: 108;Fonction balisage en pourcentage: 10 – 100 %;Puissance: 42 W;Sécurité photobiologique selon la norme EN 62471: RG1;Courant à l'enclenchement, maximum: 14,8 A;Angle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091446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5150 SC V2 bugfriendly avec détecteur de mouvement - 1800K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2026-01-22T01:09:19+01:00</dcterms:created>
  <dcterms:modified xsi:type="dcterms:W3CDTF">2026-01-22T01:09:19+01:00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